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0"/>
        <w:ind w:left="5103" w:right="-181"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 1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0"/>
        <w:ind w:left="5103" w:right="-181"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                 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 Техническим требованиям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0"/>
        <w:ind w:left="5103" w:right="-181" w:firstLine="0"/>
        <w:jc w:val="right"/>
        <w:keepLines/>
        <w:keepNext/>
        <w:widowControl w:val="off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sz w:val="22"/>
          <w:szCs w:val="22"/>
        </w:rPr>
        <w:suppressLineNumbers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от «_____» ____________ 20__ г.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0"/>
        <w:ind w:left="5103" w:right="-181" w:firstLine="0"/>
        <w:jc w:val="center"/>
        <w:keepLines/>
        <w:keepNext/>
        <w:widowControl w:val="off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sz w:val="22"/>
          <w:szCs w:val="22"/>
        </w:rPr>
        <w:suppressLineNumbers/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0"/>
        <w:jc w:val="center"/>
        <w:keepLines/>
        <w:keepNext/>
        <w:widowControl w:val="off"/>
        <w:tabs>
          <w:tab w:val="clear" w:pos="708" w:leader="none"/>
          <w:tab w:val="left" w:pos="8280" w:leader="none"/>
        </w:tabs>
        <w:rPr>
          <w:rFonts w:ascii="Times New Roman" w:hAnsi="Times New Roman" w:cs="Times New Roman"/>
          <w:b/>
          <w:sz w:val="28"/>
          <w:szCs w:val="28"/>
          <w:highlight w:val="yellow"/>
        </w:rPr>
        <w:suppressLineNumbers/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Технические задания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</w:r>
    </w:p>
    <w:p>
      <w:pPr>
        <w:pStyle w:val="710"/>
        <w:jc w:val="center"/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eastAsia="Times New Roman" w:cs="Times New Roman"/>
          <w:b/>
          <w:sz w:val="24"/>
          <w:szCs w:val="22"/>
        </w:rPr>
      </w:r>
      <w:r>
        <w:rPr>
          <w:rFonts w:ascii="Times New Roman" w:hAnsi="Times New Roman" w:eastAsia="Times New Roman" w:cs="Times New Roman"/>
          <w:b/>
          <w:sz w:val="24"/>
          <w:szCs w:val="22"/>
        </w:rPr>
      </w:r>
      <w:r>
        <w:rPr>
          <w:rFonts w:ascii="Times New Roman" w:hAnsi="Times New Roman" w:cs="Times New Roman"/>
          <w:b/>
          <w:sz w:val="24"/>
          <w:szCs w:val="22"/>
        </w:rPr>
      </w:r>
    </w:p>
    <w:tbl>
      <w:tblPr>
        <w:tblW w:w="10256" w:type="dxa"/>
        <w:tblInd w:w="5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4A0" w:firstRow="1" w:lastRow="0" w:firstColumn="1" w:lastColumn="0" w:noHBand="0" w:noVBand="1"/>
      </w:tblPr>
      <w:tblGrid>
        <w:gridCol w:w="1043"/>
        <w:gridCol w:w="1701"/>
        <w:gridCol w:w="7512"/>
      </w:tblGrid>
      <w:tr>
        <w:tblPrEx/>
        <w:trPr>
          <w:trHeight w:val="6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pPr>
              <w:pStyle w:val="710"/>
              <w:ind w:left="113" w:right="113"/>
              <w:jc w:val="left"/>
              <w:spacing w:before="0" w:after="0" w:line="240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710"/>
              <w:ind w:left="142" w:right="82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Наименование раздела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2" w:type="dxa"/>
            <w:textDirection w:val="lrTb"/>
            <w:noWrap w:val="false"/>
          </w:tcPr>
          <w:p>
            <w:pPr>
              <w:pStyle w:val="710"/>
              <w:ind w:left="142" w:right="159" w:firstLine="0"/>
              <w:jc w:val="center"/>
              <w:spacing w:line="5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Содержание раздела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17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3"/>
              </w:numPr>
              <w:ind w:left="0" w:firstLine="170"/>
              <w:jc w:val="both"/>
              <w:spacing w:before="0" w:after="0"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710"/>
              <w:ind w:left="88" w:right="94" w:firstLine="0"/>
              <w:jc w:val="both"/>
              <w:keepLines/>
              <w:keepNext/>
              <w:spacing w:before="0" w:after="0" w:line="360" w:lineRule="auto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Условия выполнения работ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2" w:type="dxa"/>
            <w:textDirection w:val="lrTb"/>
            <w:noWrap w:val="false"/>
          </w:tcPr>
          <w:p>
            <w:pPr>
              <w:pStyle w:val="710"/>
              <w:ind w:left="159" w:right="137" w:firstLine="281"/>
              <w:jc w:val="both"/>
              <w:keepLines/>
              <w:keepNext/>
              <w:spacing w:before="0" w:after="0" w:line="276" w:lineRule="auto"/>
              <w:shd w:val="clear" w:color="auto" w:fill="ffffff"/>
              <w:widowControl w:val="off"/>
              <w:tabs>
                <w:tab w:val="clear" w:pos="708" w:leader="none"/>
                <w:tab w:val="left" w:pos="709" w:leader="none"/>
                <w:tab w:val="left" w:pos="1560" w:leader="none"/>
                <w:tab w:val="left" w:pos="639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Условия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ыполнения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281"/>
              <w:jc w:val="both"/>
              <w:keepLines/>
              <w:keepNext/>
              <w:spacing w:before="0" w:after="0" w:line="276" w:lineRule="auto"/>
              <w:widowControl w:val="off"/>
              <w:tabs>
                <w:tab w:val="clear" w:pos="708" w:leader="none"/>
                <w:tab w:val="left" w:pos="6396" w:leader="none"/>
                <w:tab w:val="left" w:pos="693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Работы по строительству сети для технологического присоединения к системе теплоснабжения объекта: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 xml:space="preserve">Лаборатория высокого уровня биологической безопасности для оперативной расшифровке (24 часа) и изучения опасных и неизвестных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white"/>
              </w:rPr>
              <w:t xml:space="preserve">инфекций в квартале 418 г. Благовещенск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должны быть выполнены в строгом соответствии с требованиями договора подряда. и включают следующие этапы: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</w:p>
          <w:p>
            <w:pPr>
              <w:pStyle w:val="710"/>
              <w:ind w:left="159" w:right="137" w:firstLine="601"/>
              <w:jc w:val="both"/>
              <w:keepNext/>
              <w:spacing w:before="0" w:after="0" w:line="276" w:lineRule="auto"/>
              <w:tabs>
                <w:tab w:val="clear" w:pos="708" w:leader="none"/>
                <w:tab w:val="left" w:pos="6396" w:leader="none"/>
                <w:tab w:val="left" w:pos="693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 этап.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 Разработка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проектной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документации в соответствии с заданием на проектирование (Приложение 1).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710"/>
              <w:ind w:left="159" w:right="137" w:firstLine="601"/>
              <w:jc w:val="both"/>
              <w:keepNext/>
              <w:spacing w:before="0" w:after="0" w:line="276" w:lineRule="auto"/>
              <w:tabs>
                <w:tab w:val="clear" w:pos="708" w:leader="none"/>
                <w:tab w:val="left" w:pos="6396" w:leader="none"/>
                <w:tab w:val="left" w:pos="693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- 2 этап.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ыполнение строительно-монтажных работ с вводом объекта в эксплуатацию.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Работы выполняются в строгом соответствии с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Проектной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документацией, разработанной в рамках 1 этапа Подрядчиком и согласованной Заказчиком.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710"/>
              <w:ind w:left="159" w:right="158" w:firstLine="284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1. Подрядчик предварительно согласовывает с Заказчиком поставщика (завод-изготовитель), опор и арматуры, все используемые для выполнения работ матери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алы должны сопровождаться паспортами и сертификатами качества в соответствии с действующими нормами и стандартами. Каждая партия должна сопровождаться паспортом о качестве, эксплуатационной документацией и копиями соответствующих сертификатов на продукцию.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710"/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Акты входного контроля качества на все материалы и изделия, копии сертификатов, паспорта качества на материалы, используемые при работах, должны быть переданы Заказчику до начала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8"/>
              </w:numPr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Проведение монтажных работ выполняется в период остановки подачи тепла на тепломагистралях СП «Амурские тепловые сети».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8"/>
              </w:numPr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Строительно-монтажные работы выполнить иждивением Подрядчика, то есть Подрядчик обеспечивает поставку строительных материалов, полуфабрикатов, изделий и конструкций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8"/>
              </w:numPr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Изготовление и поставка трубопровода по СТО ЦКТИ 10.003-2007.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Каждая партия должна сопровождаться паспортом о качестве, эксплуатационной документацией и копиями соответствующих сертификатов на продукцию. Требования к Подрядчику при допуске к выполнению сварочных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Свидетельство об аттестации технологии сварки в соответствии с РД 03-615-03 (группа технических устройств: котельное оборудование, строительные конструкции (СК)).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Копии протоколов аттестации специалистов сварочного производства 1 уровня, выданные НАКС (не менее двух специалистов).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8"/>
              </w:numPr>
              <w:ind w:left="159" w:right="142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После меха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нического и конструкционного завершения Объекта обеспечить выполнение испытаний трубопровода.</w:t>
              <w:tab/>
              <w:br/>
              <w:t xml:space="preserve">      Механическое и конструкционное завершение Объекта предполагает одновременно (без ограничения приведенным перечнем):</w:t>
              <w:tab/>
              <w:t xml:space="preserve">(1) установку материалов в проектное 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ложение, (2) соединение реконструируемого участка тепломагистарали с действующей тепловой сетью (3) демонстрацию того, что была произведена индивидуальная чистка, проверка на отсутствие протечек, чтобы убедиться, что данные работы были выполнены правильно.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Выдача Заказчиком Акта Готовности к Пуску не означает приемки Заказчиком Работ, и не освобождает Подрядчика от ответственности за какие-либо недостатки в Объекте.</w:t>
              <w:tab/>
              <w:br/>
              <w:t xml:space="preserve">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Работы выполняются в соответствии с проектной документацией, утвержденным сторонами графиком производства работ, проектом производства работ, технологическими картами и требованиями договора подряда.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8"/>
              </w:numPr>
              <w:ind w:left="159" w:right="279" w:firstLine="284"/>
              <w:jc w:val="both"/>
              <w:spacing w:before="0" w:after="0" w:line="276" w:lineRule="auto"/>
              <w:tabs>
                <w:tab w:val="left" w:pos="29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 обязан сдать Заказчику приёма-сдаточную документацию, предусмотренную Техническим регламентом Таможенного союза ТР ТС 010/2011 «О безопасности машин и оборудования».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601"/>
              <w:jc w:val="both"/>
              <w:keepNext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 вопросы технического характера и принимаемые технические решения, все изменения в проекте, необходимость которых может возникнуть в процессе СМР, должны быть согласованы Заказчиком.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710"/>
              <w:ind w:left="142" w:right="113" w:firstLine="283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7. По завершению строительно-монтажных работ Подрядчик обязан о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формить технический план линейного объекта для регистрации права собственности.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both"/>
              <w:spacing w:before="0" w:after="0"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jc w:val="both"/>
              <w:spacing w:before="0" w:after="0" w:line="300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Требования к качеству выполнения строительно-монтажных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2" w:type="dxa"/>
            <w:vAlign w:val="center"/>
            <w:textDirection w:val="lrTb"/>
            <w:noWrap w:val="false"/>
          </w:tcPr>
          <w:p>
            <w:pPr>
              <w:pStyle w:val="710"/>
              <w:ind w:left="142" w:right="158"/>
              <w:jc w:val="both"/>
              <w:spacing w:before="0" w:after="0" w:line="276" w:lineRule="auto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Подрядчик обязан применять современные технологии, методики, обладать необходимой базой действующих нормативно-технических документов, при выполнении работ соблюдать правила производства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/>
              <w:jc w:val="both"/>
              <w:spacing w:before="0" w:after="0" w:line="276" w:lineRule="auto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Подрядчик обязан обеспечить систему контроля качества работ, обеспечить входной контроль поступающих материалов и изделий, обеспечить текущий контроль технологических процессов при производстве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/>
              <w:jc w:val="both"/>
              <w:spacing w:before="0" w:after="0" w:line="276" w:lineRule="auto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Последовательность строительно-монтажных работ вести в строгом соответствии с технологией производства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/>
              <w:jc w:val="both"/>
              <w:spacing w:before="0" w:after="0" w:line="276" w:lineRule="auto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Приёмочные испытания тепловой сети должны быть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проведены Подрядчиком с привлечением Заказчика после окончания всех СМР с составлением акта. Перед испытаниями должно быть проверено выполнение ПТЭ, СНиПов, ГОСТов и других нормативных документов Подрядчиком с составлением акта в объёме выполненных работ.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710"/>
              <w:ind w:firstLine="0"/>
              <w:jc w:val="both"/>
              <w:spacing w:before="0" w:after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Обеспечить качество и безопасность выполняемых Работ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710"/>
              <w:ind w:firstLine="0"/>
              <w:jc w:val="both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соблюдением требований ГОСТ, СП, СНиП, нормативных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both"/>
              <w:spacing w:before="0" w:after="0"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jc w:val="both"/>
              <w:spacing w:before="0" w:after="0"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Перечень нормативных документов и приказов, обязательных к применению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2" w:type="dxa"/>
            <w:vAlign w:val="center"/>
            <w:textDirection w:val="lrTb"/>
            <w:noWrap w:val="false"/>
          </w:tcPr>
          <w:p>
            <w:pPr>
              <w:pStyle w:val="710"/>
              <w:ind w:left="142" w:right="279" w:firstLine="0"/>
              <w:jc w:val="both"/>
              <w:spacing w:before="0" w:after="0" w:line="276" w:lineRule="auto"/>
              <w:widowControl w:val="off"/>
              <w:tabs>
                <w:tab w:val="clear" w:pos="708" w:leader="none"/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документов НТД и заводской документацией на монтируемые изделия, в том числе, но не ограничиваясь: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10"/>
              </w:numPr>
              <w:ind w:left="142" w:right="279" w:firstLine="121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bidi="ru-RU"/>
              </w:rPr>
              <w:t xml:space="preserve">СО 34.03.301-00 (РД 153-34.0-03-301-00) (ВППБ 01-02-95*) Правила пожарной безопасности для энергетических предприятий;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ru-RU"/>
              </w:rPr>
              <w:t xml:space="preserve">Правила противопожарного режима в Российской Федерации. Утверждены постановлением Правительства Российской Федерации от 16 сентября 2020 года N 1479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«Правила безопасности при работе с инструментом и приспособлениями», утв. Приказом Минтруда №552н от 17.08.2015г.;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«Правила безопасности опасных производственных объектов, на которых используются подъемные сооружения», утв. приказом Ростехнадзора №533 от 12.11.2013г.;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выполнении работ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«Правила технической эксплуатации электрических станций и сетей Российской Федерации». Утверждены приказом Минэнерго России от 19.06.2003 года №229. Зарегистрированы в Министерстве юстиции РФ 20.06.2003 года №4799;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РД 03-606-03. Инструкция по визуальному и измерительному контролю;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РД 34.03.284-96 «Инструкция по организации и производству работ повышенной опасности»;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 34.04.181-2003 «Правила организации технического обслуживания и ремонта оборудования, зданий и сооружений электростанций и сетей» (утв. РАО "ЕЭС России" 25.12.2003 г.);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СНиП 3.01.04-87. «Приемка в эксплуатацию законченных строительством объектов. Основные положения» (утв. Постановлением Госстроя СССР от 21.04.1987 г. №84) (ред. от 18.11.1987 г.);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«Правила техники безопасности при эксплуатации тепломеханического оборудования электростанций и тепловых сетей». РД 34.03.201-97 (утв. Минтопэнерго России 03.04.1997 г.) (по состоянию на 03.04.2000 г.) (ред. от 22.02.2000 г.);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«Правила по охране труда при погрузочно-разгрузочных работах и размещении грузов. Утв. Приказом Минтруда России от 17.09.2014 г. №642н (Зарегистрировано в Минюсте России 05.11.2014 г. №34558);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СНиП 12-03-2001 «Безопасность труда в строительстве. Часть 1. Общие требования». Приняты и введены в действие Постановлением Госстроя РФ от 23.07.2001 г. №80;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СНиП 12-04-2002 «Безопасность труда в строительстве. Часть 2. Строительное производство». Приняты и введены в действие Постановлением Госстроя РФ от 17.09.2002 г. №123;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48.13330.2011. «Свод правил. Организация строительства». Актуализированная редакция СНиП 12-01-2004 (утв. Приказом Минрегиона РФ от 27.12.2010 г. №781);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ктам освидетельствования работ, конструкций, участков сетей инженерно-технического обеспечения (вместе с "РД-11-02-2006...")» Утв. Приказом Ростехнадзора от 26.12.2006 г. №1128 (ред. от 26.10.2015 г.). Зарегистрированы в Минюсте России 06.03.2007 г. №9050;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МДС 12-81.2007. «Методические рекомендации по разработке и оформлению проекта организации строительства и проекта производства работ»;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ВСН 214-89 «Сборник инструкций по защите от коррозий». Инструкция № 2 по подготовке металлических и бетонных поверхностей подлежащих антикоррозийной защите;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 РМ-012-2000 «Межотраслевые правила по охране труда при работе на высоте»;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СНиП 12-01-2004 «Организация строительства»;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СНиП 3-03-01-87 «Строительные конструкции»;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СНиП 3-04-01-87 «Изоляционные и отделочные покрытия»;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СНиП 3.01.04-87 «Приемка в эксплуатацию законченных строительством объектов. Основные положения»;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9544-2015. Арматура трубопроводная запорная. Нормы герметичности затворов;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16037-80. Соединения сварных стальных трубопроводов. Основные типы, конструктивные элементы и размеры;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РД 153-34.0-20.518-2003 Типовая инструкция по защите трубопроводов, тепловых сетей от наружной коррозии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12.3.009-76 «ССБТ. Работы погрузо-разгрузочные. Общее требование безопасности»;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 РМ-012-2000 «Межотраслевые правила по охране труда при работе на высоте»;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12.1.046-85 ССБТ «Нормы освещения строительных площадок»;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12.3.033-84 ССБТ «Строительные машины. Общие требования при эксплуатации»;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24258-88 «Средства подмащивания»;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23407-78 «Ограждения инвентарные строительных площадок и участков производства строительно-монтажных работ»;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 РусГидро 01.02.115-2019 «Приёмка и ввод в эксплуатацию. Правила приёмки и ввода в эксплуатацию полностью законченных строительством объектов и отдельных этапов строительства»;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3"/>
                <w:numId w:val="9"/>
              </w:numPr>
              <w:contextualSpacing w:val="0"/>
              <w:ind w:left="142" w:right="279" w:firstLine="121"/>
              <w:jc w:val="both"/>
              <w:spacing w:before="0" w:after="0"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Заводской документацией на Материально-технические ресурсы.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both"/>
              <w:spacing w:before="0" w:after="0"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jc w:val="both"/>
              <w:spacing w:before="0" w:after="0"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Приложения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2" w:type="dxa"/>
            <w:vAlign w:val="center"/>
            <w:textDirection w:val="lrTb"/>
            <w:noWrap w:val="false"/>
          </w:tcPr>
          <w:p>
            <w:pPr>
              <w:pStyle w:val="710"/>
              <w:ind w:left="142" w:right="158"/>
              <w:jc w:val="both"/>
              <w:spacing w:before="0" w:after="0" w:line="32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 Техническое задание на выполнение проектных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71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0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0"/>
        <w:ind w:left="510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 1.1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0"/>
        <w:ind w:left="510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                 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 Техническим заданиям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10"/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eastAsia="Times New Roman" w:cs="Times New Roman"/>
          <w:b/>
          <w:sz w:val="24"/>
          <w:szCs w:val="22"/>
        </w:rPr>
      </w:r>
      <w:r>
        <w:rPr>
          <w:rFonts w:ascii="Times New Roman" w:hAnsi="Times New Roman" w:eastAsia="Times New Roman" w:cs="Times New Roman"/>
          <w:b/>
          <w:sz w:val="24"/>
          <w:szCs w:val="22"/>
        </w:rPr>
      </w:r>
      <w:r>
        <w:rPr>
          <w:rFonts w:ascii="Times New Roman" w:hAnsi="Times New Roman" w:cs="Times New Roman"/>
          <w:b/>
          <w:sz w:val="24"/>
          <w:szCs w:val="22"/>
        </w:rPr>
      </w:r>
    </w:p>
    <w:p>
      <w:pPr>
        <w:pStyle w:val="710"/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eastAsia="Times New Roman" w:cs="Times New Roman"/>
          <w:b/>
          <w:sz w:val="24"/>
          <w:szCs w:val="22"/>
        </w:rPr>
      </w:r>
      <w:r>
        <w:rPr>
          <w:rFonts w:ascii="Times New Roman" w:hAnsi="Times New Roman" w:eastAsia="Times New Roman" w:cs="Times New Roman"/>
          <w:b/>
          <w:sz w:val="24"/>
          <w:szCs w:val="22"/>
        </w:rPr>
      </w:r>
      <w:r>
        <w:rPr>
          <w:rFonts w:ascii="Times New Roman" w:hAnsi="Times New Roman" w:cs="Times New Roman"/>
          <w:b/>
          <w:sz w:val="24"/>
          <w:szCs w:val="22"/>
        </w:rPr>
      </w:r>
    </w:p>
    <w:p>
      <w:pPr>
        <w:pStyle w:val="711"/>
        <w:spacing w:line="276" w:lineRule="auto"/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eastAsia="Times New Roman" w:cs="Times New Roman"/>
          <w:b/>
          <w:sz w:val="24"/>
          <w:szCs w:val="22"/>
        </w:rPr>
        <w:t xml:space="preserve">Задание</w:t>
      </w:r>
      <w:r>
        <w:rPr>
          <w:rFonts w:ascii="Times New Roman" w:hAnsi="Times New Roman" w:eastAsia="Times New Roman" w:cs="Times New Roman"/>
          <w:b/>
          <w:sz w:val="24"/>
          <w:szCs w:val="22"/>
        </w:rPr>
        <w:t xml:space="preserve"> на проектирование</w:t>
      </w:r>
      <w:r>
        <w:rPr>
          <w:rFonts w:ascii="Times New Roman" w:hAnsi="Times New Roman" w:cs="Times New Roman"/>
          <w:b/>
          <w:sz w:val="24"/>
          <w:szCs w:val="22"/>
        </w:rPr>
      </w:r>
    </w:p>
    <w:p>
      <w:pPr>
        <w:pStyle w:val="711"/>
        <w:spacing w:line="276" w:lineRule="auto"/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eastAsia="Times New Roman" w:cs="Times New Roman"/>
          <w:b/>
          <w:sz w:val="24"/>
          <w:szCs w:val="22"/>
        </w:rPr>
        <w:t xml:space="preserve">на выполнение проектных работ по объекту </w:t>
      </w:r>
      <w:r>
        <w:rPr>
          <w:rFonts w:ascii="Times New Roman" w:hAnsi="Times New Roman" w:eastAsia="Times New Roman" w:cs="Times New Roman"/>
          <w:b/>
          <w:sz w:val="24"/>
          <w:szCs w:val="22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 xml:space="preserve">Лаборатория высокого уровня биологической безопасности для оперативной расшифровке (24 часа) и изучения опасных и неизвестных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white"/>
        </w:rPr>
        <w:t xml:space="preserve">инфекций в квартале 418 г. Благовещенск</w:t>
      </w:r>
      <w:r>
        <w:rPr>
          <w:rFonts w:ascii="Times New Roman" w:hAnsi="Times New Roman" w:eastAsia="Times New Roman" w:cs="Times New Roman"/>
          <w:b/>
          <w:sz w:val="24"/>
          <w:szCs w:val="22"/>
        </w:rPr>
        <w:t xml:space="preserve">"  для Амурских тепловых сетей</w:t>
      </w:r>
      <w:r>
        <w:rPr>
          <w:rFonts w:ascii="Times New Roman" w:hAnsi="Times New Roman" w:eastAsia="Times New Roman" w:cs="Times New Roman"/>
          <w:b/>
          <w:sz w:val="24"/>
        </w:rPr>
        <w:tab/>
      </w:r>
      <w:r>
        <w:rPr>
          <w:rFonts w:ascii="Times New Roman" w:hAnsi="Times New Roman" w:eastAsia="Times New Roman" w:cs="Times New Roman"/>
          <w:b/>
          <w:sz w:val="24"/>
          <w:szCs w:val="22"/>
        </w:rPr>
      </w:r>
      <w:r>
        <w:rPr>
          <w:rFonts w:ascii="Times New Roman" w:hAnsi="Times New Roman" w:cs="Times New Roman"/>
          <w:b/>
          <w:sz w:val="24"/>
          <w:szCs w:val="22"/>
        </w:rPr>
      </w:r>
    </w:p>
    <w:p>
      <w:pPr>
        <w:pStyle w:val="71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tbl>
      <w:tblPr>
        <w:tblW w:w="10226" w:type="dxa"/>
        <w:tblInd w:w="5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4A0" w:firstRow="1" w:lastRow="0" w:firstColumn="1" w:lastColumn="0" w:noHBand="0" w:noVBand="1"/>
      </w:tblPr>
      <w:tblGrid>
        <w:gridCol w:w="730"/>
        <w:gridCol w:w="1872"/>
        <w:gridCol w:w="762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12"/>
              </w:numPr>
              <w:spacing w:line="324" w:lineRule="auto"/>
              <w:tabs>
                <w:tab w:val="left" w:pos="591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Цель работы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824"/>
              <w:ind w:left="142" w:right="158" w:firstLine="301"/>
              <w:jc w:val="both"/>
              <w:spacing w:line="276" w:lineRule="auto"/>
              <w:tabs>
                <w:tab w:val="left" w:pos="109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Подключение новых потребителей к системе теплоснабжения.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12"/>
              </w:numPr>
              <w:ind w:left="0" w:firstLine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Состав проектных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ind w:left="531" w:right="227" w:firstLine="0"/>
              <w:jc w:val="both"/>
              <w:spacing w:line="32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 проектной документации: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5" w:right="227" w:firstLine="425"/>
              <w:jc w:val="both"/>
              <w:spacing w:line="276" w:lineRule="auto"/>
              <w:tabs>
                <w:tab w:val="left" w:pos="482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 сбор исходных данных;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710"/>
              <w:ind w:left="159" w:right="227" w:firstLine="271"/>
              <w:jc w:val="both"/>
              <w:spacing w:line="276" w:lineRule="auto"/>
              <w:tabs>
                <w:tab w:val="left" w:pos="482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 проведение комплекса обследований в объёме, необходимом для разработки проектной документации;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227" w:firstLine="271"/>
              <w:jc w:val="both"/>
              <w:spacing w:line="276" w:lineRule="auto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 разработка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проектной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и сметной документации;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227" w:firstLine="271"/>
              <w:jc w:val="both"/>
              <w:spacing w:line="276" w:lineRule="auto"/>
              <w:tabs>
                <w:tab w:val="left" w:pos="567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-  кадастровые работы.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pStyle w:val="710"/>
              <w:ind w:left="159" w:right="227" w:firstLine="271"/>
              <w:jc w:val="both"/>
              <w:spacing w:line="276" w:lineRule="auto"/>
              <w:tabs>
                <w:tab w:val="left" w:pos="482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 необходимости Подрядчик выполняет соответствующие корректировки проектной документации.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12"/>
              </w:numPr>
              <w:ind w:left="0" w:firstLine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Район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ind w:left="159" w:right="158" w:firstLine="284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Амурская область, г. Благовещенск,  на земельном участке с кадастровым номером  28:01:130418:67.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12"/>
              </w:numPr>
              <w:ind w:left="0" w:firstLine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230" w:right="408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Основные требования к применяемым материалам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textDirection w:val="lrTb"/>
            <w:noWrap w:val="false"/>
          </w:tcPr>
          <w:p>
            <w:pPr>
              <w:pStyle w:val="710"/>
              <w:ind w:left="159" w:right="137" w:firstLine="284"/>
              <w:jc w:val="both"/>
              <w:spacing w:line="276" w:lineRule="auto"/>
              <w:tabs>
                <w:tab w:val="left" w:pos="382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1. Применяемые в проектных решениях изделия, и материалы должны соо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их качество и применимость для данных условий эксплуатации.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284"/>
              <w:jc w:val="both"/>
              <w:spacing w:line="276" w:lineRule="auto"/>
              <w:tabs>
                <w:tab w:val="left" w:pos="67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2. При разработке проектной и сметной документации рекомендуется предусматривать материалы, изделия Российского производства.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0" w:right="137" w:firstLine="0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        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3.Тепловая сеть: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2"/>
              </w:numPr>
              <w:ind w:left="142" w:right="137" w:firstLine="284"/>
              <w:jc w:val="both"/>
              <w:spacing w:line="276" w:lineRule="auto"/>
              <w:widowControl w:val="off"/>
              <w:tabs>
                <w:tab w:val="left" w:pos="209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качестве арматуры принять – стальную запорную арматуру  на  Ру 16 кг/см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2"/>
              </w:numPr>
              <w:ind w:left="142" w:right="137" w:firstLine="284"/>
              <w:jc w:val="both"/>
              <w:spacing w:line="276" w:lineRule="auto"/>
              <w:widowControl w:val="off"/>
              <w:tabs>
                <w:tab w:val="left" w:pos="209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в качестве теплоизоляционного материала принять  маты минераловатные  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с  покрытием  рулонным  стеклопластиком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. Теплоизоляционные материалы, изделия и конструкции должны соответствовать СП 61.13330.2012. «Свод правил. Тепловая изоляция оборудования и трубопроводов. Актуализированная редакция СНиП 41 -03-2003».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"/>
              </w:numPr>
              <w:ind w:left="142" w:right="137" w:firstLine="284"/>
              <w:jc w:val="both"/>
              <w:spacing w:line="276" w:lineRule="auto"/>
              <w:widowControl w:val="off"/>
              <w:tabs>
                <w:tab w:val="left" w:pos="209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Style w:val="787"/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Оборудование и материально-технические ресурсы, применяемые в проекте должны соответствовать требованиям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Постановления Правительства РФ от 23.12.2024 N 1875 (в актуальной редакции на момент проектирования) "О мерах по предоставлению национального режима при ос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быть согласованы с заказчиком и иметь необходимые сертификаты (соответствия, качества и т.д.).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Style w:val="787"/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pStyle w:val="710"/>
              <w:ind w:left="159" w:right="137" w:firstLine="284"/>
              <w:jc w:val="both"/>
              <w:spacing w:line="276" w:lineRule="auto"/>
              <w:tabs>
                <w:tab w:val="left" w:pos="673" w:leader="none"/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В качестве антикоррозийной изоляции трубопроводов и металлоконструкций принять грунтовку  ГФ-021 (1слой)  и  алюминиевый  лак  БТ-177 (2 слоя).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13"/>
              </w:numPr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Требования к вариантной разработке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ind w:left="142" w:right="158"/>
              <w:jc w:val="both"/>
              <w:spacing w:line="324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13"/>
              </w:numPr>
              <w:ind w:left="0" w:firstLine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Исходные данные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7"/>
              </w:numPr>
              <w:ind w:left="142" w:right="158" w:firstLine="0"/>
              <w:jc w:val="left"/>
              <w:spacing w:line="276" w:lineRule="auto"/>
              <w:tabs>
                <w:tab w:val="clear" w:pos="708" w:leader="none"/>
                <w:tab w:val="left" w:pos="959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Основные характеристики строящегося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объекта: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pStyle w:val="824"/>
              <w:numPr>
                <w:ilvl w:val="1"/>
                <w:numId w:val="11"/>
              </w:numPr>
              <w:ind w:left="156" w:right="158" w:hanging="14"/>
              <w:jc w:val="left"/>
              <w:spacing w:line="276" w:lineRule="auto"/>
              <w:tabs>
                <w:tab w:val="left" w:pos="109" w:leader="none"/>
                <w:tab w:val="clear" w:pos="708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  <w:t xml:space="preserve">Подключение  теплосети  объекта осуществляется от проектируемой тепловой камеры на существующей тепловой  сети  ООО «АКС» к зданию по ул. Загородная 10,   протяжённостью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в  двухтрубном  исчислении  до  границы  земельного  участка  объекта 28:01:130418:67 - 110м.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pStyle w:val="824"/>
              <w:numPr>
                <w:ilvl w:val="1"/>
                <w:numId w:val="11"/>
              </w:numPr>
              <w:ind w:left="156" w:right="158" w:hanging="14"/>
              <w:jc w:val="both"/>
              <w:spacing w:line="276" w:lineRule="auto"/>
              <w:tabs>
                <w:tab w:val="left" w:pos="109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Наружный  диаметр  трубопровода – 159мм;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Толщина  стенки  трубопровода – 4мм;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Материал трубопровода – стальные  прямошовные электросварные  трубы  по ГОСТ 1074-91, сталь 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09Г2С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 прокладки – подземная  в  непроходных  ж/б  каналах;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left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  тепловой  изоляции  трубопроводов -  маты  минераловатные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  покровного  слоя – 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рулонный  стеклопластик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Температурный график работы тепловых сетей 117,5/70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position w:val="0"/>
                <w:sz w:val="24"/>
                <w:szCs w:val="24"/>
                <w:vertAlign w:val="baseli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 теплоносителя – сетевая  вода;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Максимальное рабочее давление теплоносителя (избыточное):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5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 подающем  тру</w:t>
            </w:r>
            <w:bookmarkStart w:id="0" w:name="_GoBack"/>
            <w:r>
              <w:rPr>
                <w:rFonts w:ascii="Times New Roman" w:hAnsi="Times New Roman" w:eastAsia="Times New Roman" w:cs="Times New Roman"/>
              </w:rPr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бопроводе – 5,5 кгс/см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5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 обратном  трубопроводе – 4,9 кгс/см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1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Режим работы ТС - круглосуточный, круглогодичный.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  теплоснабжения – Благовещенская ТЭЦ.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7"/>
              </w:numPr>
              <w:ind w:left="142" w:right="158" w:firstLine="0"/>
              <w:jc w:val="both"/>
              <w:spacing w:line="276" w:lineRule="auto"/>
              <w:tabs>
                <w:tab w:val="clear" w:pos="708" w:leader="none"/>
                <w:tab w:val="left" w:pos="72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Схема трассировки теплотрассы предоставлена в Приложении 1 к  настоящему ТЗ.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7"/>
              </w:numPr>
              <w:ind w:left="142" w:right="158" w:firstLine="0"/>
              <w:jc w:val="both"/>
              <w:spacing w:line="276" w:lineRule="auto"/>
              <w:tabs>
                <w:tab w:val="left" w:pos="585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Дополнительные сведения предоставляются Заказчиком по письменному запросу Подрядчика с указанием перечня необходимых сведений и документов.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trike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Основные объёмы проектных работ</w:t>
            </w:r>
            <w:r>
              <w:rPr>
                <w:rFonts w:ascii="Times New Roman" w:hAnsi="Times New Roman" w:eastAsia="Times New Roman" w:cs="Times New Roman"/>
                <w:strike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trike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4"/>
              </w:numPr>
              <w:ind w:left="142" w:right="158" w:firstLine="159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 проектной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6" w:right="158" w:firstLine="145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Прокладку тепловой сети выполнить согласно схеме трассировки (Приложение 1 к ТЗ).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159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объёме проектных работ предусмотреть: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159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―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земляные работы и устройство песчаного основания для прокладки железобетонных лотков;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159"/>
              <w:jc w:val="both"/>
              <w:spacing w:line="276" w:lineRule="auto"/>
              <w:tabs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―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устройство непроходных сборных железобетонных каналов, неподвижных и подвижных опор, с монтажом металлоконструкций для прокладки двухтрубной водяной тепловой сети в непроходных сборных железобетонных каналах на участке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  <w:t xml:space="preserve">от проектируемой тепловой камеры на существующей тепловой  сети  ООО «АКС» к зданию по ул. Загородная 10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, до границы земельного  участка с кадастровым номером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28:01:130418:67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159"/>
              <w:jc w:val="both"/>
              <w:spacing w:line="276" w:lineRule="auto"/>
              <w:tabs>
                <w:tab w:val="clear" w:pos="708" w:leader="none"/>
                <w:tab w:val="left" w:pos="959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―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монтаж тепловой сети в непроходных сборных железобетонных каналах Дн 159 мм, протяженностью L= 110м в двухтрубном исполнении с нанесением антикоррозийного покрытия, с  тепловой  изоляцией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– маты  минераловатные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покровным  слоем – 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рулонный  стеклопластик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797"/>
              <w:numPr>
                <w:ilvl w:val="0"/>
                <w:numId w:val="15"/>
              </w:numPr>
              <w:ind w:left="709" w:right="158" w:hanging="425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устройство камеры;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0"/>
                <w:numId w:val="15"/>
              </w:numPr>
              <w:ind w:left="709" w:right="158" w:hanging="425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установку всей запорной арматуры;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0"/>
                <w:numId w:val="15"/>
              </w:numPr>
              <w:ind w:left="709" w:right="158" w:hanging="425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наличие переходов мест пересечений с коммуникациями;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97"/>
              <w:numPr>
                <w:ilvl w:val="0"/>
                <w:numId w:val="15"/>
              </w:numPr>
              <w:ind w:left="709" w:right="158" w:hanging="425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восстановление благоустройства территории (асфальтобетонное  дорожное  покрытие, бордюры, тротуарная плитка).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4"/>
              </w:numPr>
              <w:ind w:left="156" w:right="113" w:firstLine="142"/>
              <w:spacing w:line="276" w:lineRule="auto"/>
              <w:rPr>
                <w:rStyle w:val="787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Выполнить необходимые тепловые, гидравлические и прочностные расчёты.</w:t>
            </w:r>
            <w:r>
              <w:rPr>
                <w:rStyle w:val="787"/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zh-CN" w:bidi="ar-SA"/>
              </w:rPr>
            </w:r>
            <w:r>
              <w:rPr>
                <w:rStyle w:val="787"/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710"/>
              <w:numPr>
                <w:ilvl w:val="0"/>
                <w:numId w:val="4"/>
              </w:numPr>
              <w:ind w:left="156" w:right="113" w:firstLine="142"/>
              <w:jc w:val="both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Согласование проектной документации с собственниками пересекаемых коммуникаций (при необходимости);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numPr>
                <w:ilvl w:val="0"/>
                <w:numId w:val="4"/>
              </w:numPr>
              <w:ind w:left="156" w:right="113" w:firstLine="142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ыполнить землеустроительные работы по формированию документов, необходимых согласно действующему законодательству, для установления публичного сервитута.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4"/>
              </w:numPr>
              <w:ind w:left="156" w:right="113" w:firstLine="142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 сметной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159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необходимости Подрядчик выполняет соответствующие корректировки проектной и сметной документаций, возникающие в ходе выполнения строительно-монтажных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159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 проектной документации должен быть достаточным для проведения строительно-монтажных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Требования к составу разрабатываемой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Объём и состав проектной документации должен соответствовать требованиям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 w:bidi="ru-RU"/>
              </w:rPr>
              <w:t xml:space="preserve">Постановления Правительства Российской Федерации от 16.02.2008 № 87 «О составе разделов проектной документации и требованиях к их содержанию».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highlight w:val="white"/>
              </w:rPr>
            </w:r>
          </w:p>
          <w:p>
            <w:pPr>
              <w:pStyle w:val="710"/>
              <w:ind w:left="113" w:right="113" w:firstLine="421"/>
              <w:jc w:val="both"/>
              <w:spacing w:line="276" w:lineRule="auto"/>
              <w:widowControl w:val="off"/>
              <w:tabs>
                <w:tab w:val="left" w:pos="511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Раздел ПОС выполнить в соответствии с требованиями СП 48.13330.2019 «Свод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равил. Организация строительства». Состав и содержание ПОС должны соответствовать требованиям пункта 23 раздела 6 Постановления Правительства Российской Федерации от 16.02.2008 № 87 «О составе разделов проектной документации и требованиях к их содержанию».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13" w:right="113" w:firstLine="421"/>
              <w:jc w:val="both"/>
              <w:spacing w:line="276" w:lineRule="auto"/>
              <w:widowControl w:val="off"/>
              <w:tabs>
                <w:tab w:val="left" w:pos="497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При составлении календарного плана строительства учесть сроки изготовления и доставки материалов к месту строительства.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13" w:right="113" w:firstLine="421"/>
              <w:jc w:val="both"/>
              <w:spacing w:line="276" w:lineRule="auto"/>
              <w:widowControl w:val="off"/>
              <w:tabs>
                <w:tab w:val="left" w:pos="497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 ПОС разработать сводные спецификации на строительные конструкции, материалы.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 соста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ве проекта организации строительства разработать перечень работ, для которых необходимо составление актов освидетельствования скрытых работ и актов промежуточной приемки ответственных конструкций (работ), порядок проведения приемочных испытаний (проверок).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В составе проекта предусмотреть: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-</w:t>
              <w:tab/>
              <w:t xml:space="preserve">спецификацию изделий и Материалов, выполняемую в соответствии с "ГОСТ 21.110-2013. Межгосударственный стандарт. Система проектной документации для строительства. Спецификация оборудования, изделий и материалов";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-</w:t>
              <w:tab/>
              <w:t xml:space="preserve">ведомости и сводные ведомости потребности в материалах по "ГОСТ 21.110-2013. Межгосударственный стандарт. Система проектной документации для строительства. Спецификация оборудования, изделий и материалов";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- ведомости и сборники ведомостей объемов строительных и монтажных работ по "ГОСТ 21.110-2013. Межгосударственный стандарт. Система проектной документации для строительства";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- другие документы, предусмотренные соответствующими стандартами СПДС.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13" w:right="113" w:firstLine="0"/>
              <w:jc w:val="both"/>
              <w:spacing w:line="276" w:lineRule="auto"/>
              <w:widowControl w:val="off"/>
              <w:tabs>
                <w:tab w:val="left" w:pos="511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</w:rPr>
              <w:t xml:space="preserve">Объём и состав проектной документации должен соответствовать требованиям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 w:bidi="ru-RU"/>
              </w:rPr>
              <w:t xml:space="preserve">Постановления Правительства Российской Федерации от 16.02.2008 № 87 «О составе разделов проектной документации и требованиях к их содержанию».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Объем проектной документации должен быть достаточным для проведения всего комплекса монтажных работ, включая рабочие чертежи, объединенные в комплекты по видам работ.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2. В составе сметной документации предусмотреть: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13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 локальные сметы (сметные расчеты) на отдельные виды работ, которые необходимо выполнить по данному объекту;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13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объектные сметы (сметные расчеты) на объект в целом, где объединены данные из локальных смет;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13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сметные расчеты на отдельные виды затрат;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13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сводные сметные расчёты;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13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ведомости объёмов работ;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прайс-листы и технико-коммерческие предложения на материалы.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 стоимость работ должны быть включены все затраты, связанные с созданием объекта и вводом его в эксплуатацию.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42" w:right="158" w:firstLine="159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 материалы со стоимостью по прайс-листам должны быть согласованы с Заказчиком в процессе проектирования. К запросу на согласование цены в обязательном порядке прикладываются коммерческие предложения и мониторинг цен, не менее трёх поставщиков.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25"/>
              <w:ind w:left="159" w:right="137" w:firstLine="130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3. Проектную документацию в обязательном порядке согласовать с Заказчиком.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Основные требования к проектным решениям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ind w:left="142" w:right="158" w:firstLine="301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компенсации температурных удлинений трубопроводов в соответствии с требованиями СНиП использовать сильфонные компенсаторы.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301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прокладки теплотрассы принять в соответствии с требованиями СНиП, увязав с существующими условиями прохождения тепловой сети.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301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Отвод дренажных вод запроектировать в соответствии с требованиями законодательства об охране окружающей среды и основ земельного кодекса РФ, получить все необходимые согласования.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301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Железобетонные конструкции, соприкасающиеся с грунтом, покрыть гидроизоляционной мастикой.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58" w:firstLine="301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на прочность трубопроводов выполнить в соответствии с ГОСТ 55596-2013 «Сети тепловые. Нормы и методы расчета на прочность и сейсмические воздействия».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Style w:val="787"/>
                <w:rFonts w:ascii="Times New Roman" w:hAnsi="Times New Roman" w:eastAsia="Times New Roman" w:cs="Times New Roman"/>
                <w:szCs w:val="22"/>
              </w:rPr>
              <w:t xml:space="preserve">Порядок формирования сметной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textDirection w:val="lrTb"/>
            <w:noWrap w:val="false"/>
          </w:tcPr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В составе проектной документации сметы на СМР формировать по следующим критериям: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При составлении сметной документации руководствоваться актуальными методическими документами, действующими на момент составления проектной документации.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40" w:lineRule="auto"/>
              <w:shd w:val="clear" w:color="auto" w:fill="ffffff"/>
              <w:tabs>
                <w:tab w:val="left" w:pos="13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Стоимость работ определить ресурсно-индексным методом,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Индексы перевода в текущие цены учитывать по данным ФГИС, публикуемых на момент составления сметной документации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при расчете сметной стоимости, сметную прибыль принять 40% от ФОТ для СМР.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Командировочные затраты предусмотреть в размере 3,74% от итогов глав 1-9 без учёта стоимости оборудования.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Величину резерва средств на непредвиденные работы и затраты принимать в размере 3%.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Предусмотреть затраты на выполнение гидравлических и гарантийных испытаний.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Стоимость материалов учтённых в сметах по текущим ценам, подтвердить обосновывающими документами с предоставлением сравнительной таблицы предложений от трех поставщиков.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Применяемые ценообразующие документы согласовать с Заказчиком.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710"/>
              <w:ind w:left="142" w:right="137" w:firstLine="301"/>
              <w:jc w:val="both"/>
              <w:spacing w:line="276" w:lineRule="auto"/>
              <w:shd w:val="clear" w:color="auto" w:fill="ffffff"/>
              <w:tabs>
                <w:tab w:val="clear" w:pos="708" w:leader="none"/>
                <w:tab w:val="left" w:pos="1361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  <w:t xml:space="preserve">Сводный сметный расчёт, объектные сметы, составляются в базисном и текущем уровне цен на момент строительства.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Требования пожарной и промышленной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ind w:left="142" w:right="158" w:firstLine="301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Документацию выполнить с учетом «Технического регламента о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ребованиях пожарной безопасности» (ФЗ от 22.07.2008 № 123), РД 153-34.0-49.101-2003 и иных нормативно-технических документов. Учесть требования федерального закона «О промышленной безопасности опасных производственных объектов» (ФЗ от 21.07.1997 № 116-ФЗ).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Перечень нормативных документов и приказов, обязательных к применению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Градостроительный кодекс Российской Федерации от 29.12.2004 N 191-Федеральный закон.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Земельный кодекс Российской Федерации от 25.10.2001 N 136- Федеральный закон.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Федеральный закон от 24.07.2007 № 221-Федеральный закон «О государственном кадастре недвижимости».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42.13330.2016 «Градостроительство. Планировка и застройка городских и сельских поселений».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11-112-2001 "</w:t>
            </w:r>
            <w:r>
              <w:rPr>
                <w:rStyle w:val="787"/>
                <w:rFonts w:ascii="Times New Roman" w:hAnsi="Times New Roman" w:eastAsia="Times New Roman" w:cs="Times New Roman"/>
              </w:rPr>
              <w:t xml:space="preserve">Порядок разработки и состав раздела "Инженерно-технические мероприятия гражданской обороны. Мероприятия по предупреждению чрезвычайных ситуаций" градостроительной документации для территорий городских и сельских поселений, других муниципальных образований.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47.13330.2016 «Инженерные изыскания для строительства. Основные положения».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Инструкция о порядке проектирования и установления красных линий в городах и других поселениях Российской Федерации РДС-30-201-98, принятая постановлением Госстроя России от 06.04.1998г. № 18-30.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Закон Амурской области от 05.12.2006 № 259-ОЗ «О регулировании градостроительной деятельности в Амурской области».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Нормативы градостроительного проектирования Амурской области.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Нормативы градостроительного проектирования муниципального образования города Благовещенска.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Генеральный план города Благовещенска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Правила землепользования и застройки муниципального образования города Благовещенска.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124.13330.2012. Тепловые сети (Изменение № 1);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2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36.13330.2012. Свод правил. Магистральные трубопроводы (Изменение №1, 2, 3);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61.13330.2012 Тепловая изоляция оборудования и трубопроводов (Изменение № 1);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08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ГОСТ 21.705-2016. Система проектной документации для строительства» (Поправка № 1);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3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33.13330.2012 «Расчет на прочность стальных трубопроводов» (Изменение № 1);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425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41-105-2002 «Проектирование и строительство тепловых сетей бесканальной прокладки из стальных труб с индустриальной тепловой изоляцией из пенополиуретана в полиэтиленовой оболочке»;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428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ГОСТ 21.206-2012 СПДС. Условные обозначения трубопроводов;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454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ГОСТ 21.405-93 СПДС. Правила выполнения рабочей документации тепловой изоляции оборудования и трубопроводов;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ГОСТ 21.705-2016 СПДС. Правила выполнения рабочей документации тепловых сетей (Поправка № 1);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-ГОСТ Р 21.101-2020 «Система проектной документации для строительства (СПДС). Основные требования к проектной и рабочей документации»;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58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СН 531-80 Инструкция о составе, порядке разработки и утверждения схем теплоснабжения населенных пунктов с суммарной тепловой нагрузкой до 116 МВт (1000 Гкал/ч)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8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РД 153-34.0-20.518-2003 Типовая инструкция по защите трубопроводов, тепловых сетей от наружной коррозии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8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28.13330.2017. Свод правил. Защита строительных конструкций и сооружений от коррозии (Изменение № 1, 2)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Федеральный Закон РФ от 27.12.2002 № 184-ФЗ «О техническом регулировании» (*в действующей редакции);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Федеральный закон от 10.01.2002 № 7-ФЗ «Об охране окружающей среды» (с изменениями на 2 июля 2021 года);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Федеральный закон от 21.12.1994 № 69-ФЗ «О пожарной безопасности» (*в действующей редакции);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ГОСТ Р 1.4-2004 Стандартизация в Российской Федерации. Стандарты организации. Общие положения;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Постановление от 23 июля 2001 года № 80. О принятии строительных норм и правил Российской Федерации «Безопасность труда в строительстве. Часть 1. Общие требования».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Постановление от 17 сентября 2002 года № 123. О принятии строительных норм и правил Российской Федерации «Безопасность труда в строительстве. Часть 2. Строительное производство»;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48.13330.2019. Организация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126.13330.2017. Геодезические работы в строительстве.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90" w:leader="none"/>
                <w:tab w:val="clear" w:pos="708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СП 131.13330.2020. Строительная климатология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90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СанПиН 2.2.1/2.1.1.1200-03 «Санитарно-защитные зоны и санитарная классификация предприятий, сооружений и иных объектов»;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590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Style w:val="787"/>
                <w:rFonts w:ascii="Times New Roman" w:hAnsi="Times New Roman" w:cs="Times New Roman"/>
              </w:rPr>
            </w:pPr>
            <w:r>
              <w:rPr>
                <w:rStyle w:val="787"/>
                <w:rFonts w:ascii="Times New Roman" w:hAnsi="Times New Roman" w:eastAsia="Times New Roman" w:cs="Times New Roman"/>
              </w:rPr>
              <w:t xml:space="preserve">- Правила благоустройства городского округа «Город Благовещенск»;</w:t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  <w:r>
              <w:rPr>
                <w:rStyle w:val="787"/>
                <w:rFonts w:ascii="Times New Roman" w:hAnsi="Times New Roman" w:eastAsia="Times New Roman" w:cs="Times New Roman"/>
              </w:rPr>
            </w:r>
          </w:p>
          <w:p>
            <w:pPr>
              <w:pStyle w:val="710"/>
              <w:ind w:left="142" w:right="144" w:firstLine="121"/>
              <w:jc w:val="both"/>
              <w:spacing w:line="276" w:lineRule="auto"/>
              <w:widowControl w:val="off"/>
              <w:tabs>
                <w:tab w:val="left" w:pos="146" w:leader="none"/>
                <w:tab w:val="left" w:pos="43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Другие технические регламенты, строительные нормы и правила, федеральные нормы и правила, государственные отраслевые стандарт, стандарты организации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numPr>
                <w:ilvl w:val="0"/>
                <w:numId w:val="6"/>
              </w:numPr>
              <w:ind w:left="142" w:right="144" w:firstLine="121"/>
              <w:jc w:val="both"/>
              <w:spacing w:line="276" w:lineRule="auto"/>
              <w:widowControl w:val="off"/>
              <w:tabs>
                <w:tab w:val="left" w:pos="590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Перечень не является исчерпывающим и при применении используются действующие редакции.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00" w:lineRule="auto"/>
              <w:rPr>
                <w:rFonts w:ascii="Times New Roman" w:hAnsi="Times New Roman" w:cs="Times New Roman"/>
                <w:sz w:val="24"/>
                <w:szCs w:val="22"/>
                <w:u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  <w:u w:val="none"/>
              </w:rPr>
              <w:t xml:space="preserve">Требования к конфиденциальности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  <w:u w:val="none"/>
              </w:rPr>
            </w:r>
            <w:r>
              <w:rPr>
                <w:rFonts w:ascii="Times New Roman" w:hAnsi="Times New Roman" w:cs="Times New Roman"/>
                <w:sz w:val="24"/>
                <w:szCs w:val="22"/>
                <w:u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ind w:left="142" w:right="158" w:firstLine="159"/>
              <w:jc w:val="both"/>
              <w:spacing w:line="300" w:lineRule="auto"/>
              <w:tabs>
                <w:tab w:val="left" w:pos="382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 обязан соблюдать требования, предъявляемые дей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ствующим законодательством РФ, локальными нормативными актами и приказами Общества, к работе с документами и сведениями, содержащими конфиденциальную информацию и не разглашать конфиденциальную информацию, ставшую ему известной в процессе выполнения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Документация, выдаваемая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заказчику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contextualSpacing/>
              <w:ind w:left="159" w:right="144" w:firstLine="289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Три экземпляра в бумажном виде и один экземпляр на электронном носителе (на </w:t>
            </w:r>
            <w:r>
              <w:rPr>
                <w:rFonts w:ascii="Times New Roman" w:hAnsi="Times New Roman" w:eastAsia="Times New Roman" w:cs="Times New Roman"/>
                <w:sz w:val="24"/>
                <w:lang w:val="en-US"/>
              </w:rPr>
              <w:t xml:space="preserve">USB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-носителе).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contextualSpacing/>
              <w:ind w:left="159" w:right="144" w:firstLine="289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электронном носителе.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contextualSpacing/>
              <w:ind w:left="159" w:right="144" w:firstLine="289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Формат передаваемой в электронном виде документации: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contextualSpacing/>
              <w:ind w:left="159" w:right="144" w:firstLine="289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текстовая часть – doc, pdf (пояснительная записка и «ПОС» обязательно в pdf и doc) с подписями и печатями на титульных листах;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contextualSpacing/>
              <w:ind w:left="159" w:right="144" w:firstLine="289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графическая часть -  dwg или cdw, pdf, tiff;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contextualSpacing/>
              <w:ind w:left="159" w:right="144" w:firstLine="289"/>
              <w:jc w:val="both"/>
              <w:spacing w:before="0"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таблицы данных - doc , pdf, xls ;</w:t>
            </w: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710"/>
              <w:ind w:left="159" w:right="144" w:firstLine="284"/>
              <w:jc w:val="bot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 сметную документацию – в формате «ГРАНД-смета» - gsfх ;   xlsх и pdf.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0" w:type="dxa"/>
            <w:vAlign w:val="center"/>
            <w:textDirection w:val="lrTb"/>
            <w:noWrap w:val="false"/>
          </w:tcPr>
          <w:p>
            <w:pPr>
              <w:pStyle w:val="710"/>
              <w:ind w:left="170"/>
              <w:jc w:val="center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Align w:val="center"/>
            <w:textDirection w:val="lrTb"/>
            <w:noWrap w:val="false"/>
          </w:tcPr>
          <w:p>
            <w:pPr>
              <w:pStyle w:val="710"/>
              <w:ind w:left="142" w:right="82"/>
              <w:spacing w:line="324" w:lineRule="auto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  <w:t xml:space="preserve">Приложения</w:t>
            </w:r>
            <w:r>
              <w:rPr>
                <w:rFonts w:ascii="Times New Roman" w:hAnsi="Times New Roman" w:eastAsia="Times New Roman" w:cs="Times New Roman"/>
                <w:sz w:val="24"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24" w:type="dxa"/>
            <w:vAlign w:val="center"/>
            <w:textDirection w:val="lrTb"/>
            <w:noWrap w:val="false"/>
          </w:tcPr>
          <w:p>
            <w:pPr>
              <w:pStyle w:val="710"/>
              <w:numPr>
                <w:ilvl w:val="0"/>
                <w:numId w:val="14"/>
              </w:numPr>
              <w:ind w:left="780" w:right="158" w:hanging="360"/>
              <w:jc w:val="both"/>
              <w:spacing w:line="32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Схема трассировки тепловой 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jc w:val="right"/>
        <w:tabs>
          <w:tab w:val="clear" w:pos="708" w:leader="none"/>
          <w:tab w:val="left" w:pos="243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1 к ТЗ</w:t>
      </w:r>
      <w:r>
        <w:rPr>
          <w:rFonts w:ascii="Times New Roman" w:hAnsi="Times New Roman" w:eastAsia="Times New Roman" w:cs="Times New Roman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184900" cy="3801077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2183075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6184899" cy="38010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87.00pt;height:299.30pt;mso-wrap-distance-left:0.00pt;mso-wrap-distance-top:0.00pt;mso-wrap-distance-right:0.00pt;mso-wrap-distance-bottom:0.00pt;rotation:0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425" w:right="1083" w:bottom="425" w:left="1083" w:header="0" w:footer="274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5"/>
      <w:jc w:val="right"/>
    </w:pPr>
    <w:r/>
    <w:r/>
  </w:p>
  <w:p>
    <w:pPr>
      <w:pStyle w:val="805"/>
      <w:jc w:val="right"/>
      <w:rPr>
        <w:highlight w:val="none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1</w:t>
    </w:r>
    <w:r>
      <w:fldChar w:fldCharType="end"/>
    </w:r>
    <w:r>
      <w:rPr>
        <w:highlight w:val="none"/>
      </w:rPr>
    </w:r>
    <w:r>
      <w:rPr>
        <w:highlight w:val="none"/>
      </w:rPr>
    </w:r>
  </w:p>
  <w:p>
    <w:pPr>
      <w:pStyle w:val="80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11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3" w:hanging="360"/>
        <w:tabs>
          <w:tab w:val="num" w:pos="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3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13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33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53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73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93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13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33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112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3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5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72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9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12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32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52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72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  <w:tabs>
          <w:tab w:val="num" w:pos="0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752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1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12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72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72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3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32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92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  <w:tabs>
          <w:tab w:val="num" w:pos="0" w:leader="none"/>
        </w:tabs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bullet"/>
      <w:isLgl w:val="false"/>
      <w:suff w:val="tab"/>
      <w:lvlText w:val=""/>
      <w:lvlJc w:val="left"/>
      <w:pPr>
        <w:ind w:left="2917" w:hanging="648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2" w:firstLine="0"/>
        <w:tabs>
          <w:tab w:val="num" w:pos="0" w:leader="none"/>
        </w:tabs>
      </w:pPr>
      <w:rPr>
        <w:rFonts w:hint="default" w:ascii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"/>
      <w:lvlJc w:val="left"/>
      <w:pPr>
        <w:ind w:left="142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1" w:hanging="247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02" w:hanging="360"/>
        <w:tabs>
          <w:tab w:val="num" w:pos="0" w:leader="none"/>
        </w:tabs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0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2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4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6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8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0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2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540" w:hanging="18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3" w:hanging="360"/>
        <w:tabs>
          <w:tab w:val="num" w:pos="0" w:leader="none"/>
        </w:tabs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3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13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33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53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73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93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13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33" w:hanging="18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0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11">
    <w:name w:val="Heading 1"/>
    <w:basedOn w:val="710"/>
    <w:next w:val="710"/>
    <w:link w:val="736"/>
    <w:qFormat/>
    <w:pPr>
      <w:numPr>
        <w:ilvl w:val="0"/>
        <w:numId w:val="1"/>
      </w:numPr>
      <w:jc w:val="center"/>
      <w:keepNext/>
      <w:outlineLvl w:val="0"/>
    </w:pPr>
    <w:rPr>
      <w:rFonts w:ascii="Arial" w:hAnsi="Arial"/>
      <w:sz w:val="28"/>
    </w:rPr>
  </w:style>
  <w:style w:type="paragraph" w:styleId="712">
    <w:name w:val="Heading 2"/>
    <w:link w:val="737"/>
    <w:uiPriority w:val="9"/>
    <w:unhideWhenUsed/>
    <w:qFormat/>
    <w:pPr>
      <w:jc w:val="left"/>
      <w:keepLines/>
      <w:keepNext/>
      <w:spacing w:before="360" w:after="200"/>
      <w:widowControl/>
      <w:outlineLvl w:val="1"/>
    </w:pPr>
    <w:rPr>
      <w:rFonts w:ascii="Arial" w:hAnsi="Arial" w:eastAsia="Arial" w:cs="Arial"/>
      <w:color w:val="auto"/>
      <w:sz w:val="34"/>
      <w:szCs w:val="20"/>
      <w:lang w:val="ru-RU" w:eastAsia="zh-CN" w:bidi="ar-SA"/>
    </w:rPr>
  </w:style>
  <w:style w:type="paragraph" w:styleId="713">
    <w:name w:val="Heading 3"/>
    <w:link w:val="738"/>
    <w:uiPriority w:val="9"/>
    <w:unhideWhenUsed/>
    <w:qFormat/>
    <w:pPr>
      <w:jc w:val="left"/>
      <w:keepLines/>
      <w:keepNext/>
      <w:spacing w:before="320" w:after="200"/>
      <w:widowControl/>
      <w:outlineLvl w:val="2"/>
    </w:pPr>
    <w:rPr>
      <w:rFonts w:ascii="Arial" w:hAnsi="Arial" w:eastAsia="Arial" w:cs="Arial"/>
      <w:color w:val="auto"/>
      <w:sz w:val="30"/>
      <w:szCs w:val="30"/>
      <w:lang w:val="ru-RU" w:eastAsia="zh-CN" w:bidi="ar-SA"/>
    </w:rPr>
  </w:style>
  <w:style w:type="paragraph" w:styleId="714">
    <w:name w:val="Heading 4"/>
    <w:link w:val="739"/>
    <w:uiPriority w:val="9"/>
    <w:unhideWhenUsed/>
    <w:qFormat/>
    <w:pPr>
      <w:jc w:val="left"/>
      <w:keepLines/>
      <w:keepNext/>
      <w:spacing w:before="320" w:after="200"/>
      <w:widowControl/>
      <w:outlineLvl w:val="3"/>
    </w:pPr>
    <w:rPr>
      <w:rFonts w:ascii="Arial" w:hAnsi="Arial" w:eastAsia="Arial" w:cs="Arial"/>
      <w:b/>
      <w:bCs/>
      <w:color w:val="auto"/>
      <w:sz w:val="26"/>
      <w:szCs w:val="26"/>
      <w:lang w:val="ru-RU" w:eastAsia="zh-CN" w:bidi="ar-SA"/>
    </w:rPr>
  </w:style>
  <w:style w:type="paragraph" w:styleId="715">
    <w:name w:val="Heading 5"/>
    <w:link w:val="740"/>
    <w:uiPriority w:val="9"/>
    <w:unhideWhenUsed/>
    <w:qFormat/>
    <w:pPr>
      <w:jc w:val="left"/>
      <w:keepLines/>
      <w:keepNext/>
      <w:spacing w:before="320" w:after="200"/>
      <w:widowControl/>
      <w:outlineLvl w:val="4"/>
    </w:pPr>
    <w:rPr>
      <w:rFonts w:ascii="Arial" w:hAnsi="Arial" w:eastAsia="Arial" w:cs="Arial"/>
      <w:b/>
      <w:bCs/>
      <w:color w:val="auto"/>
      <w:sz w:val="24"/>
      <w:szCs w:val="24"/>
      <w:lang w:val="ru-RU" w:eastAsia="zh-CN" w:bidi="ar-SA"/>
    </w:rPr>
  </w:style>
  <w:style w:type="paragraph" w:styleId="716">
    <w:name w:val="Heading 6"/>
    <w:link w:val="741"/>
    <w:uiPriority w:val="9"/>
    <w:unhideWhenUsed/>
    <w:qFormat/>
    <w:pPr>
      <w:jc w:val="left"/>
      <w:keepLines/>
      <w:keepNext/>
      <w:spacing w:before="320" w:after="200"/>
      <w:widowControl/>
      <w:outlineLvl w:val="5"/>
    </w:pPr>
    <w:rPr>
      <w:rFonts w:ascii="Arial" w:hAnsi="Arial" w:eastAsia="Arial" w:cs="Arial"/>
      <w:b/>
      <w:bCs/>
      <w:color w:val="auto"/>
      <w:sz w:val="22"/>
      <w:szCs w:val="22"/>
      <w:lang w:val="ru-RU" w:eastAsia="zh-CN" w:bidi="ar-SA"/>
    </w:rPr>
  </w:style>
  <w:style w:type="paragraph" w:styleId="717">
    <w:name w:val="Heading 7"/>
    <w:link w:val="742"/>
    <w:uiPriority w:val="9"/>
    <w:unhideWhenUsed/>
    <w:qFormat/>
    <w:pPr>
      <w:jc w:val="left"/>
      <w:keepLines/>
      <w:keepNext/>
      <w:spacing w:before="320" w:after="200"/>
      <w:widowControl/>
      <w:outlineLvl w:val="6"/>
    </w:pPr>
    <w:rPr>
      <w:rFonts w:ascii="Arial" w:hAnsi="Arial" w:eastAsia="Arial" w:cs="Arial"/>
      <w:b/>
      <w:bCs/>
      <w:i/>
      <w:iCs/>
      <w:color w:val="auto"/>
      <w:sz w:val="22"/>
      <w:szCs w:val="22"/>
      <w:lang w:val="ru-RU" w:eastAsia="zh-CN" w:bidi="ar-SA"/>
    </w:rPr>
  </w:style>
  <w:style w:type="paragraph" w:styleId="718">
    <w:name w:val="Heading 8"/>
    <w:link w:val="743"/>
    <w:uiPriority w:val="9"/>
    <w:unhideWhenUsed/>
    <w:qFormat/>
    <w:pPr>
      <w:jc w:val="left"/>
      <w:keepLines/>
      <w:keepNext/>
      <w:spacing w:before="320" w:after="200"/>
      <w:widowControl/>
      <w:outlineLvl w:val="7"/>
    </w:pPr>
    <w:rPr>
      <w:rFonts w:ascii="Arial" w:hAnsi="Arial" w:eastAsia="Arial" w:cs="Arial"/>
      <w:i/>
      <w:iCs/>
      <w:color w:val="auto"/>
      <w:sz w:val="22"/>
      <w:szCs w:val="22"/>
      <w:lang w:val="ru-RU" w:eastAsia="zh-CN" w:bidi="ar-SA"/>
    </w:rPr>
  </w:style>
  <w:style w:type="paragraph" w:styleId="719">
    <w:name w:val="Heading 9"/>
    <w:link w:val="744"/>
    <w:uiPriority w:val="9"/>
    <w:unhideWhenUsed/>
    <w:qFormat/>
    <w:pPr>
      <w:jc w:val="left"/>
      <w:keepLines/>
      <w:keepNext/>
      <w:spacing w:before="320" w:after="200"/>
      <w:widowControl/>
      <w:outlineLvl w:val="8"/>
    </w:pPr>
    <w:rPr>
      <w:rFonts w:ascii="Arial" w:hAnsi="Arial" w:eastAsia="Arial" w:cs="Arial"/>
      <w:i/>
      <w:iCs/>
      <w:color w:val="auto"/>
      <w:sz w:val="21"/>
      <w:szCs w:val="21"/>
      <w:lang w:val="ru-RU" w:eastAsia="zh-CN" w:bidi="ar-SA"/>
    </w:rPr>
  </w:style>
  <w:style w:type="character" w:styleId="720">
    <w:name w:val="Heading 1 Char"/>
    <w:basedOn w:val="735"/>
    <w:uiPriority w:val="9"/>
    <w:qFormat/>
    <w:rPr>
      <w:rFonts w:ascii="Arial" w:hAnsi="Arial" w:eastAsia="Arial" w:cs="Arial"/>
      <w:sz w:val="40"/>
      <w:szCs w:val="40"/>
    </w:rPr>
  </w:style>
  <w:style w:type="character" w:styleId="721">
    <w:name w:val="Heading 2 Char"/>
    <w:basedOn w:val="735"/>
    <w:uiPriority w:val="9"/>
    <w:qFormat/>
    <w:rPr>
      <w:rFonts w:ascii="Arial" w:hAnsi="Arial" w:eastAsia="Arial" w:cs="Arial"/>
      <w:sz w:val="34"/>
    </w:rPr>
  </w:style>
  <w:style w:type="character" w:styleId="722">
    <w:name w:val="Heading 3 Char"/>
    <w:basedOn w:val="735"/>
    <w:uiPriority w:val="9"/>
    <w:qFormat/>
    <w:rPr>
      <w:rFonts w:ascii="Arial" w:hAnsi="Arial" w:eastAsia="Arial" w:cs="Arial"/>
      <w:sz w:val="30"/>
      <w:szCs w:val="30"/>
    </w:rPr>
  </w:style>
  <w:style w:type="character" w:styleId="723">
    <w:name w:val="Heading 4 Char"/>
    <w:basedOn w:val="73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24">
    <w:name w:val="Heading 5 Char"/>
    <w:basedOn w:val="73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25">
    <w:name w:val="Heading 6 Char"/>
    <w:basedOn w:val="73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26">
    <w:name w:val="Heading 7 Char"/>
    <w:basedOn w:val="73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27">
    <w:name w:val="Heading 8 Char"/>
    <w:basedOn w:val="73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8">
    <w:name w:val="Heading 9 Char"/>
    <w:basedOn w:val="73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29">
    <w:name w:val="Title Char"/>
    <w:basedOn w:val="735"/>
    <w:uiPriority w:val="10"/>
    <w:qFormat/>
    <w:rPr>
      <w:sz w:val="48"/>
      <w:szCs w:val="48"/>
    </w:rPr>
  </w:style>
  <w:style w:type="character" w:styleId="730">
    <w:name w:val="Subtitle Char"/>
    <w:basedOn w:val="735"/>
    <w:uiPriority w:val="11"/>
    <w:qFormat/>
    <w:rPr>
      <w:sz w:val="24"/>
      <w:szCs w:val="24"/>
    </w:rPr>
  </w:style>
  <w:style w:type="character" w:styleId="731">
    <w:name w:val="Quote Char"/>
    <w:link w:val="801"/>
    <w:uiPriority w:val="29"/>
    <w:qFormat/>
    <w:rPr>
      <w:i/>
    </w:rPr>
  </w:style>
  <w:style w:type="character" w:styleId="732">
    <w:name w:val="Intense Quote Char"/>
    <w:link w:val="802"/>
    <w:uiPriority w:val="30"/>
    <w:qFormat/>
    <w:rPr>
      <w:i/>
    </w:rPr>
  </w:style>
  <w:style w:type="character" w:styleId="733">
    <w:name w:val="Footnote Text Char"/>
    <w:uiPriority w:val="99"/>
    <w:qFormat/>
    <w:rPr>
      <w:sz w:val="18"/>
    </w:rPr>
  </w:style>
  <w:style w:type="character" w:styleId="734">
    <w:name w:val="Endnote Text Char"/>
    <w:uiPriority w:val="99"/>
    <w:qFormat/>
    <w:rPr>
      <w:sz w:val="20"/>
    </w:rPr>
  </w:style>
  <w:style w:type="character" w:styleId="735" w:default="1">
    <w:name w:val="Default Paragraph Font"/>
    <w:uiPriority w:val="1"/>
    <w:semiHidden/>
    <w:unhideWhenUsed/>
    <w:qFormat/>
  </w:style>
  <w:style w:type="character" w:styleId="736" w:customStyle="1">
    <w:name w:val="Заголовок 1 Знак"/>
    <w:qFormat/>
    <w:rPr>
      <w:rFonts w:ascii="Arial" w:hAnsi="Arial"/>
      <w:sz w:val="28"/>
      <w:lang w:eastAsia="zh-CN"/>
    </w:rPr>
  </w:style>
  <w:style w:type="character" w:styleId="737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738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739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Заголовок Знак"/>
    <w:uiPriority w:val="10"/>
    <w:qFormat/>
    <w:rPr>
      <w:sz w:val="48"/>
      <w:szCs w:val="48"/>
    </w:rPr>
  </w:style>
  <w:style w:type="character" w:styleId="746" w:customStyle="1">
    <w:name w:val="Подзаголовок Знак"/>
    <w:uiPriority w:val="11"/>
    <w:qFormat/>
    <w:rPr>
      <w:sz w:val="24"/>
      <w:szCs w:val="24"/>
    </w:rPr>
  </w:style>
  <w:style w:type="character" w:styleId="747" w:customStyle="1">
    <w:name w:val="Цитата 2 Знак"/>
    <w:link w:val="801"/>
    <w:uiPriority w:val="29"/>
    <w:qFormat/>
    <w:rPr>
      <w:i/>
    </w:rPr>
  </w:style>
  <w:style w:type="character" w:styleId="748" w:customStyle="1">
    <w:name w:val="Выделенная цитата Знак"/>
    <w:link w:val="802"/>
    <w:uiPriority w:val="30"/>
    <w:qFormat/>
    <w:rPr>
      <w:i/>
    </w:rPr>
  </w:style>
  <w:style w:type="character" w:styleId="749" w:customStyle="1">
    <w:name w:val="Header Char"/>
    <w:uiPriority w:val="99"/>
    <w:qFormat/>
  </w:style>
  <w:style w:type="character" w:styleId="750" w:customStyle="1">
    <w:name w:val="Footer Char"/>
    <w:uiPriority w:val="99"/>
    <w:qFormat/>
  </w:style>
  <w:style w:type="character" w:styleId="751" w:customStyle="1">
    <w:name w:val="Caption Char"/>
    <w:uiPriority w:val="99"/>
    <w:qFormat/>
  </w:style>
  <w:style w:type="character" w:styleId="752">
    <w:name w:val="Hyperlink"/>
    <w:uiPriority w:val="99"/>
    <w:unhideWhenUsed/>
    <w:rPr>
      <w:color w:val="0000ff"/>
      <w:u w:val="single"/>
    </w:rPr>
  </w:style>
  <w:style w:type="character" w:styleId="753" w:customStyle="1">
    <w:name w:val="Текст сноски Знак"/>
    <w:uiPriority w:val="99"/>
    <w:qFormat/>
    <w:rPr>
      <w:sz w:val="18"/>
    </w:rPr>
  </w:style>
  <w:style w:type="character" w:styleId="754">
    <w:name w:val="Символ сноски"/>
    <w:uiPriority w:val="99"/>
    <w:unhideWhenUsed/>
    <w:qFormat/>
    <w:rPr>
      <w:vertAlign w:val="superscript"/>
    </w:rPr>
  </w:style>
  <w:style w:type="character" w:styleId="755">
    <w:name w:val="footnote reference"/>
    <w:rPr>
      <w:vertAlign w:val="superscript"/>
    </w:rPr>
  </w:style>
  <w:style w:type="character" w:styleId="756" w:customStyle="1">
    <w:name w:val="Текст концевой сноски Знак"/>
    <w:uiPriority w:val="99"/>
    <w:qFormat/>
    <w:rPr>
      <w:sz w:val="20"/>
    </w:rPr>
  </w:style>
  <w:style w:type="character" w:styleId="75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58">
    <w:name w:val="endnote reference"/>
    <w:rPr>
      <w:vertAlign w:val="superscript"/>
    </w:rPr>
  </w:style>
  <w:style w:type="character" w:styleId="759" w:customStyle="1">
    <w:name w:val="WW8Num1z0"/>
    <w:qFormat/>
  </w:style>
  <w:style w:type="character" w:styleId="760" w:customStyle="1">
    <w:name w:val="WW8Num1z1"/>
    <w:qFormat/>
  </w:style>
  <w:style w:type="character" w:styleId="761" w:customStyle="1">
    <w:name w:val="WW8Num1z2"/>
    <w:qFormat/>
  </w:style>
  <w:style w:type="character" w:styleId="762" w:customStyle="1">
    <w:name w:val="WW8Num1z3"/>
    <w:qFormat/>
  </w:style>
  <w:style w:type="character" w:styleId="763" w:customStyle="1">
    <w:name w:val="WW8Num1z4"/>
    <w:qFormat/>
  </w:style>
  <w:style w:type="character" w:styleId="764" w:customStyle="1">
    <w:name w:val="WW8Num1z5"/>
    <w:qFormat/>
  </w:style>
  <w:style w:type="character" w:styleId="765" w:customStyle="1">
    <w:name w:val="WW8Num1z6"/>
    <w:qFormat/>
  </w:style>
  <w:style w:type="character" w:styleId="766" w:customStyle="1">
    <w:name w:val="WW8Num1z7"/>
    <w:qFormat/>
  </w:style>
  <w:style w:type="character" w:styleId="767" w:customStyle="1">
    <w:name w:val="WW8Num1z8"/>
    <w:qFormat/>
  </w:style>
  <w:style w:type="character" w:styleId="768" w:customStyle="1">
    <w:name w:val="WW8Num2z0"/>
    <w:qFormat/>
    <w:rPr>
      <w:rFonts w:ascii="Times New Roman" w:hAnsi="Times New Roman"/>
      <w:sz w:val="28"/>
      <w:szCs w:val="28"/>
    </w:rPr>
  </w:style>
  <w:style w:type="character" w:styleId="769" w:customStyle="1">
    <w:name w:val="WW8Num2z1"/>
    <w:qFormat/>
    <w:rPr>
      <w:rFonts w:ascii="Symbol" w:hAnsi="Symbol"/>
    </w:rPr>
  </w:style>
  <w:style w:type="character" w:styleId="770" w:customStyle="1">
    <w:name w:val="WW8Num2z2"/>
    <w:qFormat/>
  </w:style>
  <w:style w:type="character" w:styleId="771" w:customStyle="1">
    <w:name w:val="WW8Num2z3"/>
    <w:qFormat/>
  </w:style>
  <w:style w:type="character" w:styleId="772" w:customStyle="1">
    <w:name w:val="WW8Num2z4"/>
    <w:qFormat/>
  </w:style>
  <w:style w:type="character" w:styleId="773" w:customStyle="1">
    <w:name w:val="WW8Num2z5"/>
    <w:qFormat/>
  </w:style>
  <w:style w:type="character" w:styleId="774" w:customStyle="1">
    <w:name w:val="WW8Num2z6"/>
    <w:qFormat/>
  </w:style>
  <w:style w:type="character" w:styleId="775" w:customStyle="1">
    <w:name w:val="WW8Num2z7"/>
    <w:qFormat/>
  </w:style>
  <w:style w:type="character" w:styleId="776" w:customStyle="1">
    <w:name w:val="WW8Num2z8"/>
    <w:qFormat/>
  </w:style>
  <w:style w:type="character" w:styleId="777" w:customStyle="1">
    <w:name w:val="WW8Num3z0"/>
    <w:qFormat/>
    <w:rPr>
      <w:rFonts w:ascii="Times New Roman" w:hAnsi="Times New Roman"/>
      <w:sz w:val="28"/>
      <w:szCs w:val="28"/>
    </w:rPr>
  </w:style>
  <w:style w:type="character" w:styleId="778" w:customStyle="1">
    <w:name w:val="WW8Num4z0"/>
    <w:qFormat/>
    <w:rPr>
      <w:rFonts w:ascii="Symbol" w:hAnsi="Symbol"/>
    </w:rPr>
  </w:style>
  <w:style w:type="character" w:styleId="779" w:customStyle="1">
    <w:name w:val="WW8Num4z1"/>
    <w:qFormat/>
    <w:rPr>
      <w:rFonts w:ascii="Courier New" w:hAnsi="Courier New"/>
    </w:rPr>
  </w:style>
  <w:style w:type="character" w:styleId="780" w:customStyle="1">
    <w:name w:val="WW8Num4z2"/>
    <w:qFormat/>
    <w:rPr>
      <w:rFonts w:ascii="Wingdings" w:hAnsi="Wingdings"/>
    </w:rPr>
  </w:style>
  <w:style w:type="character" w:styleId="781" w:customStyle="1">
    <w:name w:val="Основной шрифт абзаца1"/>
    <w:qFormat/>
  </w:style>
  <w:style w:type="character" w:styleId="782" w:customStyle="1">
    <w:name w:val="Текст выноски Знак"/>
    <w:link w:val="823"/>
    <w:semiHidden/>
    <w:qFormat/>
    <w:rPr>
      <w:rFonts w:ascii="Tahoma" w:hAnsi="Tahoma"/>
      <w:sz w:val="16"/>
      <w:szCs w:val="16"/>
      <w:lang w:eastAsia="zh-CN"/>
    </w:rPr>
  </w:style>
  <w:style w:type="character" w:styleId="783">
    <w:name w:val="annotation reference"/>
    <w:semiHidden/>
    <w:qFormat/>
    <w:rPr>
      <w:sz w:val="16"/>
      <w:szCs w:val="16"/>
    </w:rPr>
  </w:style>
  <w:style w:type="character" w:styleId="784" w:customStyle="1">
    <w:name w:val="Текст примечания Знак"/>
    <w:link w:val="825"/>
    <w:qFormat/>
    <w:rPr>
      <w:lang w:eastAsia="zh-CN"/>
    </w:rPr>
  </w:style>
  <w:style w:type="character" w:styleId="785" w:customStyle="1">
    <w:name w:val="Тема примечания Знак"/>
    <w:link w:val="826"/>
    <w:semiHidden/>
    <w:qFormat/>
    <w:rPr>
      <w:b/>
      <w:bCs/>
      <w:lang w:eastAsia="zh-CN"/>
    </w:rPr>
  </w:style>
  <w:style w:type="character" w:styleId="786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787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788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789" w:customStyle="1">
    <w:name w:val="Верхний колонтитул Знак"/>
    <w:qFormat/>
    <w:rPr>
      <w:sz w:val="24"/>
      <w:szCs w:val="24"/>
      <w:lang w:eastAsia="zh-CN"/>
    </w:rPr>
  </w:style>
  <w:style w:type="character" w:styleId="790" w:customStyle="1">
    <w:name w:val="Нижний колонтитул Знак"/>
    <w:qFormat/>
    <w:rPr>
      <w:sz w:val="24"/>
      <w:szCs w:val="24"/>
      <w:lang w:eastAsia="zh-CN"/>
    </w:rPr>
  </w:style>
  <w:style w:type="character" w:styleId="791" w:customStyle="1">
    <w:name w:val="Абзац списка Знак"/>
    <w:link w:val="797"/>
    <w:uiPriority w:val="34"/>
    <w:qFormat/>
  </w:style>
  <w:style w:type="paragraph" w:styleId="792">
    <w:name w:val="Заголовок"/>
    <w:basedOn w:val="710"/>
    <w:next w:val="793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793">
    <w:name w:val="Body Text"/>
    <w:basedOn w:val="710"/>
    <w:pPr>
      <w:jc w:val="center"/>
    </w:pPr>
    <w:rPr>
      <w:rFonts w:ascii="Arial" w:hAnsi="Arial"/>
    </w:rPr>
  </w:style>
  <w:style w:type="paragraph" w:styleId="794">
    <w:name w:val="List"/>
    <w:basedOn w:val="793"/>
  </w:style>
  <w:style w:type="paragraph" w:styleId="795">
    <w:name w:val="Caption"/>
    <w:basedOn w:val="710"/>
    <w:link w:val="751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796">
    <w:name w:val="Указатель"/>
    <w:basedOn w:val="710"/>
    <w:qFormat/>
    <w:pPr>
      <w:suppressLineNumbers/>
    </w:pPr>
    <w:rPr>
      <w:rFonts w:cs="Lohit Devanagari"/>
    </w:rPr>
  </w:style>
  <w:style w:type="paragraph" w:styleId="797">
    <w:name w:val="List Paragraph"/>
    <w:link w:val="791"/>
    <w:uiPriority w:val="34"/>
    <w:qFormat/>
    <w:pPr>
      <w:contextualSpacing/>
      <w:ind w:left="720"/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8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799">
    <w:name w:val="Title"/>
    <w:basedOn w:val="710"/>
    <w:next w:val="793"/>
    <w:link w:val="745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800">
    <w:name w:val="Subtitle"/>
    <w:link w:val="746"/>
    <w:uiPriority w:val="11"/>
    <w:qFormat/>
    <w:pPr>
      <w:jc w:val="left"/>
      <w:spacing w:before="200" w:after="200"/>
      <w:widowControl/>
    </w:pPr>
    <w:rPr>
      <w:rFonts w:ascii="Times New Roman" w:hAnsi="Times New Roman" w:eastAsia="Tahoma" w:cs="Lohit Devanagari"/>
      <w:color w:val="auto"/>
      <w:sz w:val="24"/>
      <w:szCs w:val="24"/>
      <w:lang w:val="ru-RU" w:eastAsia="zh-CN" w:bidi="ar-SA"/>
    </w:rPr>
  </w:style>
  <w:style w:type="paragraph" w:styleId="801">
    <w:name w:val="Quote"/>
    <w:link w:val="747"/>
    <w:uiPriority w:val="29"/>
    <w:qFormat/>
    <w:pPr>
      <w:ind w:left="720" w:right="720"/>
      <w:jc w:val="left"/>
      <w:spacing w:before="0" w:after="0"/>
      <w:widowControl/>
    </w:pPr>
    <w:rPr>
      <w:rFonts w:ascii="Times New Roman" w:hAnsi="Times New Roman" w:eastAsia="Tahoma" w:cs="Lohit Devanagari"/>
      <w:i/>
      <w:color w:val="auto"/>
      <w:sz w:val="20"/>
      <w:szCs w:val="20"/>
      <w:lang w:val="ru-RU" w:eastAsia="zh-CN" w:bidi="ar-SA"/>
    </w:rPr>
  </w:style>
  <w:style w:type="paragraph" w:styleId="802">
    <w:name w:val="Intense Quote"/>
    <w:link w:val="748"/>
    <w:uiPriority w:val="30"/>
    <w:qFormat/>
    <w:pPr>
      <w:ind w:left="720" w:right="720"/>
      <w:jc w:val="left"/>
      <w:spacing w:before="0" w:after="0"/>
      <w:shd w:val="clear" w:color="auto" w:fill="f2f2f2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ahoma" w:cs="Lohit Devanagari"/>
      <w:i/>
      <w:color w:val="auto"/>
      <w:sz w:val="20"/>
      <w:szCs w:val="20"/>
      <w:lang w:val="ru-RU" w:eastAsia="zh-CN" w:bidi="ar-SA"/>
    </w:rPr>
  </w:style>
  <w:style w:type="paragraph" w:styleId="803">
    <w:name w:val="Колонтитул"/>
    <w:basedOn w:val="710"/>
    <w:qFormat/>
  </w:style>
  <w:style w:type="paragraph" w:styleId="804">
    <w:name w:val="Header"/>
    <w:basedOn w:val="710"/>
    <w:link w:val="78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05">
    <w:name w:val="Footer"/>
    <w:basedOn w:val="710"/>
    <w:link w:val="790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06">
    <w:name w:val="footnote text"/>
    <w:link w:val="753"/>
    <w:uiPriority w:val="99"/>
    <w:semiHidden/>
    <w:unhideWhenUsed/>
    <w:pPr>
      <w:jc w:val="left"/>
      <w:spacing w:before="0" w:after="40"/>
      <w:widowControl/>
    </w:pPr>
    <w:rPr>
      <w:rFonts w:ascii="Times New Roman" w:hAnsi="Times New Roman" w:eastAsia="Tahoma" w:cs="Lohit Devanagari"/>
      <w:color w:val="auto"/>
      <w:sz w:val="18"/>
      <w:szCs w:val="20"/>
      <w:lang w:val="ru-RU" w:eastAsia="zh-CN" w:bidi="ar-SA"/>
    </w:rPr>
  </w:style>
  <w:style w:type="paragraph" w:styleId="807">
    <w:name w:val="endnote text"/>
    <w:link w:val="756"/>
    <w:uiPriority w:val="99"/>
    <w:semiHidden/>
    <w:unhideWhenUsed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08">
    <w:name w:val="toc 1"/>
    <w:uiPriority w:val="39"/>
    <w:unhideWhenUsed/>
    <w:pPr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09">
    <w:name w:val="toc 2"/>
    <w:uiPriority w:val="39"/>
    <w:unhideWhenUsed/>
    <w:pPr>
      <w:ind w:left="283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0">
    <w:name w:val="toc 3"/>
    <w:uiPriority w:val="39"/>
    <w:unhideWhenUsed/>
    <w:pPr>
      <w:ind w:left="567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1">
    <w:name w:val="toc 4"/>
    <w:uiPriority w:val="39"/>
    <w:unhideWhenUsed/>
    <w:pPr>
      <w:ind w:left="85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2">
    <w:name w:val="toc 5"/>
    <w:uiPriority w:val="39"/>
    <w:unhideWhenUsed/>
    <w:pPr>
      <w:ind w:left="1134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3">
    <w:name w:val="toc 6"/>
    <w:uiPriority w:val="39"/>
    <w:unhideWhenUsed/>
    <w:pPr>
      <w:ind w:left="1417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4">
    <w:name w:val="toc 7"/>
    <w:uiPriority w:val="39"/>
    <w:unhideWhenUsed/>
    <w:pPr>
      <w:ind w:left="1701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5">
    <w:name w:val="toc 8"/>
    <w:uiPriority w:val="39"/>
    <w:unhideWhenUsed/>
    <w:pPr>
      <w:ind w:left="1984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6">
    <w:name w:val="toc 9"/>
    <w:uiPriority w:val="39"/>
    <w:unhideWhenUsed/>
    <w:pPr>
      <w:ind w:left="2268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7">
    <w:name w:val="Index Heading"/>
    <w:basedOn w:val="792"/>
  </w:style>
  <w:style w:type="paragraph" w:styleId="818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19">
    <w:name w:val="table of figures"/>
    <w:uiPriority w:val="99"/>
    <w:unhideWhenUsed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0"/>
      <w:szCs w:val="20"/>
      <w:lang w:val="ru-RU" w:eastAsia="zh-CN" w:bidi="ar-SA"/>
    </w:rPr>
  </w:style>
  <w:style w:type="paragraph" w:styleId="820" w:customStyle="1">
    <w:name w:val="Указатель1"/>
    <w:basedOn w:val="710"/>
    <w:qFormat/>
    <w:pPr>
      <w:suppressLineNumbers/>
    </w:pPr>
  </w:style>
  <w:style w:type="paragraph" w:styleId="821" w:customStyle="1">
    <w:name w:val="Содержимое таблицы"/>
    <w:basedOn w:val="710"/>
    <w:qFormat/>
    <w:pPr>
      <w:suppressLineNumbers/>
    </w:pPr>
  </w:style>
  <w:style w:type="paragraph" w:styleId="822" w:customStyle="1">
    <w:name w:val="Заголовок таблицы"/>
    <w:basedOn w:val="821"/>
    <w:qFormat/>
    <w:pPr>
      <w:jc w:val="center"/>
    </w:pPr>
    <w:rPr>
      <w:b/>
      <w:bCs/>
    </w:rPr>
  </w:style>
  <w:style w:type="paragraph" w:styleId="823">
    <w:name w:val="Balloon Text"/>
    <w:basedOn w:val="710"/>
    <w:link w:val="782"/>
    <w:semiHidden/>
    <w:qFormat/>
    <w:rPr>
      <w:rFonts w:ascii="Tahoma" w:hAnsi="Tahoma"/>
      <w:sz w:val="16"/>
      <w:szCs w:val="16"/>
    </w:rPr>
  </w:style>
  <w:style w:type="paragraph" w:styleId="824" w:customStyle="1">
    <w:name w:val="Абзац списка;Алроса_маркер (Уровень 4);Маркер;ПАРАГРАФ;Абзац списка2"/>
    <w:basedOn w:val="710"/>
    <w:qFormat/>
    <w:pPr>
      <w:contextualSpacing/>
      <w:ind w:left="720"/>
      <w:spacing w:before="0" w:after="0"/>
    </w:pPr>
    <w:rPr>
      <w:lang w:eastAsia="ru-RU"/>
    </w:rPr>
  </w:style>
  <w:style w:type="paragraph" w:styleId="825">
    <w:name w:val="annotation text"/>
    <w:basedOn w:val="710"/>
    <w:link w:val="784"/>
    <w:qFormat/>
  </w:style>
  <w:style w:type="paragraph" w:styleId="826">
    <w:name w:val="annotation subject"/>
    <w:basedOn w:val="825"/>
    <w:next w:val="825"/>
    <w:link w:val="785"/>
    <w:semiHidden/>
    <w:qFormat/>
    <w:rPr>
      <w:b/>
      <w:bCs/>
    </w:rPr>
  </w:style>
  <w:style w:type="numbering" w:styleId="827" w:default="1">
    <w:name w:val="No List"/>
    <w:uiPriority w:val="99"/>
    <w:semiHidden/>
    <w:unhideWhenUsed/>
    <w:qFormat/>
  </w:style>
  <w:style w:type="table" w:styleId="828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29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 w:customStyle="1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3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5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6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2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8B64732B-8BC5-4046-8FCF-0C59A1E0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morgachev_ts</cp:lastModifiedBy>
  <cp:revision>81</cp:revision>
  <dcterms:created xsi:type="dcterms:W3CDTF">2023-03-21T05:27:00Z</dcterms:created>
  <dcterms:modified xsi:type="dcterms:W3CDTF">2026-03-04T02:01:37Z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